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0" distT="0" distL="0" distR="0">
            <wp:extent cx="2400635" cy="304843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3048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6448425</wp:posOffset>
            </wp:positionH>
            <wp:positionV relativeFrom="paragraph">
              <wp:posOffset>0</wp:posOffset>
            </wp:positionV>
            <wp:extent cx="1577340" cy="776968"/>
            <wp:effectExtent b="0" l="0" r="0" t="0"/>
            <wp:wrapSquare wrapText="bothSides" distB="0" distT="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7769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Webinar: Who’s Doing the Work in Math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Common Obstacles when Shifting the Lift to Students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6"/>
        <w:gridCol w:w="4317"/>
        <w:gridCol w:w="4317"/>
        <w:tblGridChange w:id="0">
          <w:tblGrid>
            <w:gridCol w:w="4316"/>
            <w:gridCol w:w="4317"/>
            <w:gridCol w:w="4317"/>
          </w:tblGrid>
        </w:tblGridChange>
      </w:tblGrid>
      <w:tr>
        <w:tc>
          <w:tcPr>
            <w:shd w:fill="e2efd9" w:val="clea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Obstacle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Strategy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Resources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Teachers feel pressed for time - it’s faster and easier to use direct instruction to cover content.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Teachers and students are uncomfortable with struggle.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Teachers and students want the satisfaction of students being able to obtain right answers to math problems.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Teachers and students have beliefs about students’ abilities to understand and/or engage with math (all students or certain subgroups).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Teachers and students think math instruction is being told the rules or procedures and engaging in rote practice.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Teachers are uncomfortable with student activity that isn’t carefully controlled.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Lucida Sans" w:cs="Lucida Sans" w:eastAsia="Lucida Sans" w:hAnsi="Lucida Sans"/>
                <w:i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i w:val="1"/>
                <w:rtl w:val="0"/>
              </w:rPr>
              <w:t xml:space="preserve">Your obstacle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Lucida Sans" w:cs="Lucida Sans" w:eastAsia="Lucida Sans" w:hAnsi="Lucida Sans"/>
                <w:i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i w:val="1"/>
                <w:rtl w:val="0"/>
              </w:rPr>
              <w:t xml:space="preserve">Your obstacle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4.png"/><Relationship Id="rId6" Type="http://schemas.openxmlformats.org/officeDocument/2006/relationships/image" Target="media/image3.png"/></Relationships>
</file>